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SchuldRAnpG — Vertragseintritt</w:t>
      </w:r>
    </w:p>
    <w:p>
      <w:r>
        <w:rPr>
          <w:color w:val="555555"/>
          <w:sz w:val="18"/>
        </w:rPr>
        <w:t xml:space="preserve">Schuldrechtsanpassungsgesetz</w:t>
      </w:r>
    </w:p>
    <w:p>
      <w:r>
        <w:rPr>
          <w:color w:val="555555"/>
          <w:sz w:val="18"/>
        </w:rPr>
        <w:t xml:space="preserve">Stand: 10.06.2019 (konsolidierte Textfassung, kein amtliches Inkrafttretensdatum)</w:t>
      </w:r>
    </w:p>
    <w:p>
      <w:r>
        <w:t xml:space="preserve">(1) Der Grundstückseigentümer tritt in die sich ab dem 1. Januar 1995 ergebenden Rechte und Pflichten aus einem Vertragsverhältnis über den Gebrauch oder die Nutzung seines Grundstücks ein, das landwirtschaftliche Produktionsgenossenschaften bis zum Ablauf des 30. Juni 1990 oder staatliche Stellen im Sinne des § 10 Abs. 1 des Sachenrechtsbereinigungsgesetzes bis zum Ablauf des 2. Oktober 1990 im eigenen oder in seinem Namen mit dem Nutzer abgeschlossen haben. Die in § 46 des Gesetzes über die landwirtschaftlichen Produktionsgenossenschaften vom 2. Juli 1982 (GBl. I Nr. 25 S. 443) bezeichneten Genossenschaften und Kooperationsbeziehungen stehen landwirtschaftlichen Produktionsgenossenschaften gleich. Die Regelungen zum Vertragsübergang in § 17 des Vermögensgesetzes bleiben unberührt.</w:t>
      </w:r>
    </w:p>
    <w:p>
      <w:r>
        <w:t xml:space="preserve">(2) Ist der Vertrag mit einem Zwischenpächter abgeschlossen worden, tritt der Grundstückseigentümer in dieses Vertragsverhältnis ein.</w:t>
      </w:r>
    </w:p>
    <w:p>
      <w:r>
        <w:t xml:space="preserve">(3) Absatz 1 Satz 1 gilt nicht, wenn der andere Vertragschließende zur Überlassung des Grundstücks nicht berechtigt war und der Nutzer beim Vertragsabschluß den Mangel der Berechtigung des anderen Vertragschließenden kannte. Kannte nur der Zwischenpächter den Mangel der Berechtigung des anderen Vertragschließenden, tritt der Grundstückseigentümer in den vom Zwischenpächter mit dem unmittelbar Nutzungsberechtigten geschlossenen Vertrag ein. Ein Verstoß gegen die in § 18 Abs. 2 Satz 2 des Gesetzes über die landwirtschaftlichen Produktionsgenossenschaften vom 2. Juli 1982 genannten Voraussetzungen ist nicht beachtlich.</w:t>
      </w:r>
    </w:p>
    <w:p>
      <w:r>
        <w:t xml:space="preserve">(4) Abweichende rechtskräftige Entscheidungen bleiben unberührt.</w:t>
      </w:r>
    </w:p>
    <w:p>
      <w:r>
        <w:rPr>
          <w:color w:val="555555"/>
          <w:sz w:val="17"/>
        </w:rPr>
        <w:t xml:space="preserve">Zitiervorschlag: § 8 SchuldRAnpG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https://recht.nulegal.eu/gesetze/SchuldRAnpG/8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