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SchuldRAnpG — Kündigungsschutz durch Moratorium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vom Grundstückseigentümer oder einem anderen Vertragschließenden (§ 8 Abs. 1 Satz 1) nach Ablauf des 2. Oktober 1990 ausgesprochene Kündigung eines in § 1 Abs. 1 bezeichneten Vertrages ist unwirksam, wenn der Nutzer nach Artikel 233 § 2a Abs. 1 des Einführungsgesetzes zum Bürgerlichen Gesetzbuche gegenüber dem Grundstückseigentümer zum Besitz berechtigt war und den Besitz noch ausübt. Satz 1 ist auch anzuwenden, wenn dem Nutzer der Besitz durch verbotene Eigenmacht entzogen wurde. Abweichende rechtskräftige Entscheidungen bleiben unberührt.</w:t>
      </w:r>
    </w:p>
    <w:p>
      <w:r>
        <w:t xml:space="preserve">(2) Absatz 1 ist nicht anzuwenden, wenn die Kündigung wegen vertragswidrigen Gebrauchs, Zahlungsverzugs des Nutzers oder aus einem anderen wichtigen Grund erfolgt ist.</w:t>
      </w:r>
    </w:p>
    <w:p>
      <w:r>
        <w:t xml:space="preserve">(3) Artikel 232 § 4a des Einführungsgesetzes zum Bürgerlichen Gesetzbuche bleibt unberührt.</w:t>
      </w:r>
    </w:p>
    <w:p>
      <w:r>
        <w:rPr>
          <w:color w:val="555555"/>
          <w:sz w:val="17"/>
        </w:rPr>
        <w:t xml:space="preserve">Zitiervorschlag: § 7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