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SchuldRAnpG — Gesetzliche Umwandlung</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Auf die in § 1 Abs. 1 bezeichneten Verträge sind die Bestimmungen des Bürgerlichen Gesetzbuchs über den Miet- oder den Pachtvertrag anzuwenden, soweit dieses Gesetz nichts anderes bestimmt.</w:t>
      </w:r>
    </w:p>
    <w:p>
      <w:r>
        <w:t xml:space="preserve">(2) Vereinbarungen, die die Beteiligten (Grundstückseigentümer und Nutzer) nach Ablauf des 2. Oktober 1990 getroffen haben, bleiben von den Bestimmungen dieses Gesetzes unberührt. Dies gilt unabhängig von ihrer Vereinbarkeit mit Rechtsvorschriften der Deutschen Demokratischen Republik auch für bis zu diesem Zeitpunkt getroffene Abreden, die vom Inhalt eines Vertrages vergleichbarer Art abweichen, nicht zu einer unangemessenen Benachteiligung eines Beteiligten führen und von denen anzunehmen ist, daß die Beteiligten sie auch getroffen hätten, wenn sie die durch den Beitritt bedingte Änderung der wirtschaftlichen und sozialen Verhältnisse vorausgesehen hätten.</w:t>
      </w:r>
    </w:p>
    <w:p>
      <w:r>
        <w:t xml:space="preserve">(3) In einem Überlassungsvertrag getroffene Abreden bleiben nur wirksam, soweit es in diesem Gesetz bestimmt ist.</w:t>
      </w:r>
    </w:p>
    <w:p>
      <w:r>
        <w:rPr>
          <w:color w:val="555555"/>
          <w:sz w:val="17"/>
        </w:rPr>
        <w:t xml:space="preserve">Zitiervorschlag: § 6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