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SchuldRAnpG — Anwendbarkeit des Abschnitts 2</w:t>
      </w:r>
    </w:p>
    <w:p>
      <w:r>
        <w:rPr>
          <w:color w:val="555555"/>
          <w:sz w:val="18"/>
        </w:rPr>
        <w:t xml:space="preserve">Schuldrechtsanpassungsgesetz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übrigen sind die Bestimmungen der §§ 46 und 48 entsprechend anzuwenden.</w:t>
      </w:r>
    </w:p>
    <w:p>
      <w:r>
        <w:rPr>
          <w:color w:val="555555"/>
          <w:sz w:val="17"/>
        </w:rPr>
        <w:t xml:space="preserve">Zitiervorschlag: § 54 SchuldRAnpG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https://recht.nulegal.eu/gesetze/SchuldRAnpG/54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