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SchuldRAnpG — Kündigung bei abtrennbaren Teilflächen</w:t>
      </w:r>
    </w:p>
    <w:p>
      <w:r>
        <w:rPr>
          <w:color w:val="555555"/>
          <w:sz w:val="18"/>
        </w:rPr>
        <w:t xml:space="preserve">Schuldrechtsanpassungsgesetz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die Kündigung abtrennbarer Teilflächen ist § 40 entsprechend anzuwenden.</w:t>
      </w:r>
    </w:p>
    <w:p>
      <w:r>
        <w:rPr>
          <w:color w:val="555555"/>
          <w:sz w:val="17"/>
        </w:rPr>
        <w:t xml:space="preserve">Zitiervorschlag: § 53 SchuldRAnpG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https://recht.nulegal.eu/gesetze/SchuldRAnpG/53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