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50 SchuldRAnpG — Bauliche Maßnahmen des Nutzers</w:t>
      </w:r>
    </w:p>
    <w:p>
      <w:r>
        <w:rPr>
          <w:color w:val="555555"/>
          <w:sz w:val="18"/>
        </w:rPr>
        <w:t xml:space="preserve">Schuldrechtsanpassungsgesetz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Gebäude im Sinne dieses Abschnitts sind Wohnhäuser und die in § 5 Abs. 2 Satz 2 des Sachenrechtsbereinigungsgesetzes bezeichneten Nebengebäude.</w:t>
      </w:r>
    </w:p>
    <w:p>
      <w:r>
        <w:t xml:space="preserve">(2) Der Errichtung eines Gebäudes stehen bauliche Maßnahmen im Sinne des § 12 Abs. 1 des Sachenrechtsbereinigungsgesetzes gleich.</w:t>
      </w:r>
    </w:p>
    <w:p>
      <w:r>
        <w:rPr>
          <w:color w:val="555555"/>
          <w:sz w:val="17"/>
        </w:rPr>
        <w:t xml:space="preserve">Zitiervorschlag: § 50 SchuldRAnpG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https://recht.nulegal.eu/gesetze/SchuldRAnpG/50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50 SchuldRAnpG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