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SchuldRAnpG — Kündigungsschutzfristen</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Der Grundstückseigentümer kann den Vertrag bis zum Ablauf des 31. Dezember 2000 nur kündigen, wenn das vom Nutzer errichtete Bauwerk nicht mehr nutzbar und mit einer Wiederherstellung der Nutzbarkeit durch den Nutzer nicht mehr zu rechnen ist. Ist die Nutzung für mindestens ein Jahr aufgegeben worden, ist zu vermuten, daß eine Nutzung auch in Zukunft nicht stattfinden wird.</w:t>
      </w:r>
    </w:p>
    <w:p>
      <w:r>
        <w:t xml:space="preserve">(2) In den darauf folgenden fünf Kalenderjahren kann der Grundstückseigentümer den Vertrag auch dann kündigen, wenn er</w:t>
      </w:r>
    </w:p>
    <w:p>
      <w:pPr>
        <w:ind w:left="420"/>
      </w:pPr>
      <w:r>
        <w:t xml:space="preserve">1. auf die eigene Nutzung des Grundstücks für Wohn- oder betriebliche Zwecke angewiesen ist oder</w:t>
      </w:r>
    </w:p>
    <w:p>
      <w:pPr>
        <w:ind w:left="420"/>
      </w:pPr>
      <w:r>
        <w:t xml:space="preserve">2. Inhaber eines Unternehmens ist und</w:t>
      </w:r>
    </w:p>
    <w:p>
      <w:pPr>
        <w:ind w:left="780"/>
      </w:pPr>
      <w:r>
        <w:t xml:space="preserve">a) das Gebäude oder die bauliche Anlage auf dem Betriebsgrundstück steht und die betriebliche Nutzung des Grundstücks erheblich beeinträchtigt oder</w:t>
      </w:r>
    </w:p>
    <w:p>
      <w:pPr>
        <w:ind w:left="780"/>
      </w:pPr>
      <w:r>
        <w:t xml:space="preserve">b) das Gebäude, die bauliche Anlage oder die Funktionsfläche für betriebliche Erweiterungen in Anspruch genommen werden soll und der Grundstückseigentümer die in § 3 Abs. 1 Nr. 1 des Investitionsvorranggesetzes vom 14. Juli 1992 (BGBl. I S. 1268) bezeichneten Zwecke verfolgt oder der Nutzer keine Gewähr für eine Fortsetzung der betrieblichen Nutzung des Wirtschaftsgebäudes bietet.</w:t>
      </w:r>
    </w:p>
    <w:p>
      <w:r>
        <w:t xml:space="preserve">Satz 1 ist nicht anzuwenden, wenn den betrieblichen Belangen des Nutzers eine erheblich höhere Bedeutung zukommt als den betrieblichen Zwecken nach Nummer 1 oder den investiven Interessen des Grundstückseigentümers nach Nummer 2 Buchstabe b. Die in Satz 1 bestimmte Frist verlängert sich um die Restnutzungsdauer des vom Nutzer errichteten Gebäudes, längstens bis zum 31. Dezember 2020.</w:t>
      </w:r>
    </w:p>
    <w:p>
      <w:r>
        <w:rPr>
          <w:color w:val="555555"/>
          <w:sz w:val="17"/>
        </w:rPr>
        <w:t xml:space="preserve">Zitiervorschlag: § 49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