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SchuldRAnpG — Zustimmung zu baulichen Investitionen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Um- und Ausbauten an bestehenden Bauwerken durch den Nutzer bedürfen nicht der Zustimmung des Grundstückseigentümers.</w:t>
      </w:r>
    </w:p>
    <w:p>
      <w:r>
        <w:t xml:space="preserve">(2) Der Nutzer kann bei Beendigung des Vertragsverhältnisses Ersatz für seine baulichen Maßnahmen, die er nach dem 1. Januar 1995 vorgenommen hat, nur dann verlangen, wenn der Grundstückseigentümer den baulichen Maßnahmen zugestimmt hat. In diesem Fall ist die Entschädigung nach dem Zeitwert des Bauwerks im Zeitpunkt der Rückgabe des Grundstücks zu bestimmen. Die Zustimmung des Grundstückseigentümers muß schriftlich erteilt werden und ein Anerkenntnis der Verpflichtung zum Wertersatz enthalten.</w:t>
      </w:r>
    </w:p>
    <w:p>
      <w:r>
        <w:rPr>
          <w:color w:val="555555"/>
          <w:sz w:val="17"/>
        </w:rPr>
        <w:t xml:space="preserve">Zitiervorschlag: § 48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