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47 SchuldRAnpG — Entgelt</w:t>
      </w:r>
    </w:p>
    <w:p>
      <w:r>
        <w:rPr>
          <w:color w:val="555555"/>
          <w:sz w:val="18"/>
        </w:rPr>
        <w:t xml:space="preserve">Schuldrechtsanpassungsgesetz</w:t>
      </w:r>
    </w:p>
    <w:p>
      <w:r>
        <w:rPr>
          <w:color w:val="555555"/>
          <w:sz w:val="18"/>
        </w:rPr>
        <w:t xml:space="preserve">Stand: 10.06.2019 (konsolidierte Textfassung, kein amtliches Inkrafttretensdatum)</w:t>
      </w:r>
    </w:p>
    <w:p>
      <w:r>
        <w:t xml:space="preserve">(1) Der Grundstückseigentümer kann vom Nutzer die Zahlung des für die Nutzung des Grundstücks ortsüblichen Entgelts verlangen. Im Zweifel sind sieben vom Hundert des Verkehrswertes des unbebauten Grundstücks jährlich in Ansatz zu bringen. Die Zahlungspflicht entsteht mit dem Beginn des dritten auf den Zugang des Zahlungsverlangens folgenden Monats.</w:t>
      </w:r>
    </w:p>
    <w:p>
      <w:r>
        <w:t xml:space="preserve">(2) Das Entgelt ermäßigt sich</w:t>
      </w:r>
    </w:p>
    <w:p>
      <w:pPr>
        <w:ind w:left="420"/>
      </w:pPr>
      <w:r>
        <w:t xml:space="preserve">1. in den ersten zwei Jahren auf ein Viertel,</w:t>
      </w:r>
    </w:p>
    <w:p>
      <w:pPr>
        <w:ind w:left="420"/>
      </w:pPr>
      <w:r>
        <w:t xml:space="preserve">2. in den folgenden zwei Jahren auf die Hälfte und</w:t>
      </w:r>
    </w:p>
    <w:p>
      <w:pPr>
        <w:ind w:left="420"/>
      </w:pPr>
      <w:r>
        <w:t xml:space="preserve">3. in den darauf folgenden zwei Jahren auf drei Viertel</w:t>
      </w:r>
    </w:p>
    <w:p>
      <w:r>
        <w:t xml:space="preserve">des sich aus Absatz 1 ergebenden Betrages (Eingangsphase). Die Eingangsphase beginnt mit dem Eintritt der Zahlungspflicht nach diesem Gesetz, spätestens am 1. Juli 1995. Satz 1 ist nicht anzuwenden, wenn die Beteiligten ein höheres Nutzungsentgelt vereinbart haben.</w:t>
      </w:r>
    </w:p>
    <w:p>
      <w:r>
        <w:t xml:space="preserve">(3) Nach Ablauf der Eingangsphase kann jede Vertragspartei bis zum Ablauf der Kündigungsschutzfrist eine Anpassung des Nutzungsentgelts verlangen, wenn seit der letzten Zinsanpassung drei Jahre vergangen sind und der ortsübliche Zins sich seit der letzten Anpassung um mehr als zehn vom Hundert verändert hat. Das Anpassungsverlangen ist gegenüber dem anderen Teil in Textform geltend zu machen und zu begründen. Das angepaßte Entgelt wird vom Beginn des dritten Kalendermonats an geschuldet, der auf den Zugang des Anpassungsverlangens folgt.</w:t>
      </w:r>
    </w:p>
    <w:p>
      <w:r>
        <w:rPr>
          <w:color w:val="555555"/>
          <w:sz w:val="17"/>
        </w:rPr>
        <w:t xml:space="preserve">Zitiervorschlag: § 47 SchuldRAnpG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https://recht.nulegal.eu/gesetze/SchuldRAnpG/47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