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SchuldRAnpG — Bauliche Maßnahmen des Nutzers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Bauwerke im Sinne dieses Abschnitts sind nur Gebäude und die in § 12 Abs. 3 des Sachenrechtsbereinigungsgesetzes bezeichneten baulichen Anlagen.</w:t>
      </w:r>
    </w:p>
    <w:p>
      <w:r>
        <w:t xml:space="preserve">(2) Der Errichtung eines Bauwerks stehen die in § 12 Abs. 1 des Sachenrechtsbereinigungsgesetzes bezeichneten baulichen Maßnahmen gleich.</w:t>
      </w:r>
    </w:p>
    <w:p>
      <w:r>
        <w:rPr>
          <w:color w:val="555555"/>
          <w:sz w:val="17"/>
        </w:rPr>
        <w:t xml:space="preserve">Zitiervorschlag: § 45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