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SchuldRAnpG — Verwendungsersatz</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Nutzer kann bei Beendigung des Mietvertrages vom Grundstückseigentümer für alle werterhöhenden Aufwendungen, die er bis zum 1. Januar 1995 vorgenommen hat, Ersatz nach Maßgabe des mit dem staatlichen Verwalter abgeschlossenen Vertrages verlangen. Im Zweifel ist die Entschädigung nach dem Wert zu bestimmen, um den das Grundstück zum Zeitpunkt der Herausgabe durch die Aufwendungen des Nutzers noch erhöht ist.</w:t>
      </w:r>
    </w:p>
    <w:p>
      <w:r>
        <w:t xml:space="preserve">(2) Ein vertraglicher Anspruch des Nutzers auf Sicherung des Ersatzanspruchs für die von ihm bis zum 1. Januar 1995 vorgenommenen werterhöhenden Aufwendungen bleibt unberührt.</w:t>
      </w:r>
    </w:p>
    <w:p>
      <w:r>
        <w:rPr>
          <w:color w:val="555555"/>
          <w:sz w:val="17"/>
        </w:rPr>
        <w:t xml:space="preserve">Zitiervorschlag: § 41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