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SchuldRAnpG — Nutzer</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Nutzer im Sinne dieses Gesetzes sind natürliche oder juristische Personen des privaten oder öffentlichen Rechts, die aufgrund eines Überlassungs-, Miet-, Pacht- oder sonstigen Vertrages zur Nutzung eines Grundstücks berechtigt sind.</w:t>
      </w:r>
    </w:p>
    <w:p>
      <w:r>
        <w:t xml:space="preserve">(2) Ist der Vertrag mit einer Personengemeinschaft nach den §§ 266 bis 273 des Zivilgesetzbuchs der Deutschen Demokratischen Republik geschlossen worden, sind deren Mitglieder gemeinschaftlich Nutzer. Soweit die Nutzer nichts anderes vereinbart haben, sind die Vorschriften des Bürgerlichen Gesetzbuchs über die Gesellschaft anzuwenden.</w:t>
      </w:r>
    </w:p>
    <w:p>
      <w:r>
        <w:rPr>
          <w:color w:val="555555"/>
          <w:sz w:val="17"/>
        </w:rPr>
        <w:t xml:space="preserve">Zitiervorschlag: § 4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