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SchuldRAnpG — Verlängerung der Kündigungsschutzfrist</w:t>
      </w:r>
    </w:p>
    <w:p>
      <w:r>
        <w:rPr>
          <w:color w:val="555555"/>
          <w:sz w:val="18"/>
        </w:rPr>
        <w:t xml:space="preserve">Schuldrechtsanpassungsgesetz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Hat der Nutzer auf dem Grundstück in nicht unerheblichem Umfang Um- und Ausbauten oder wesentliche bauliche Maßnahmen zur Substanzerhaltung des Gebäudes unternommen, die nicht den in § 12 Abs. 2 des Sachenrechtsbereinigungsgesetzes bestimmten Umfang erreichen, verlängert sich die in § 38 Abs. 2 bestimmte Frist bis zum 31. Dezember 2010. Satz 1 ist nicht anzuwenden, wenn mit den Arbeiten nach dem 20. Juli 1993 begonnen wurde.</w:t>
      </w:r>
    </w:p>
    <w:p>
      <w:r>
        <w:rPr>
          <w:color w:val="555555"/>
          <w:sz w:val="17"/>
        </w:rPr>
        <w:t xml:space="preserve">Zitiervorschlag: § 39 SchuldRAnpG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https://recht.nulegal.eu/gesetze/SchuldRAnpG/39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