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SchuldRAnpG — Sicherheitsleistung</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Die Ansprüche des Nutzers auf Erstattung der Beträge, die vom staatlichen Verwalter aus dem bei Vertragsabschluß vom Nutzer hinterlegten Betrag zur Ablösung von Verbindlichkeiten des Grundstückseigentümers verwandt wurden, bestimmen sich nach § 38 Abs. 2 und 3 des Sachenrechtsbereinigungsgesetzes.</w:t>
      </w:r>
    </w:p>
    <w:p>
      <w:r>
        <w:t xml:space="preserve">(2) Der Nutzer kann vom Grundstückseigentümer die Zustimmung zur Auszahlung der bei Abschluß des Vertrages hinterlegten Beträge mit Ausnahme der aufgelaufenen Zinsen, der Grundstückseigentümer vom Nutzer die Zustimmung zur Auszahlung der Zinsen verlangen. Satz 1 ist auf die Zinsen nicht anzuwenden, die auf die Zeit entfallen, in der der Nutzer nach diesem Gesetz zur Zahlung von Miete oder Pacht verpflichtet ist.</w:t>
      </w:r>
    </w:p>
    <w:p>
      <w:r>
        <w:t xml:space="preserve">(3) Ein vertraglich vereinbartes Recht des Nutzers, den Anspruch nach Absatz 1 durch Eintragung einer Sicherungshypothek am Grundstück zu sichern, bleibt unberührt. Der Grundstückseigentümer ist berechtigt, eine andere in § 232 Abs. 1 des Bürgerlichen Gesetzbuchs bezeichnete Sicherheit zu leisten.</w:t>
      </w:r>
    </w:p>
    <w:p>
      <w:r>
        <w:rPr>
          <w:color w:val="555555"/>
          <w:sz w:val="17"/>
        </w:rPr>
        <w:t xml:space="preserve">Zitiervorschlag: § 37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