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SchuldRAnpG — Benutzung gemeinschaftlicher Einrichtungen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der das Grundstück zur Erholung oder Freizeitgestaltung nutzt, ist berechtigt, die in der Siedlung belegenen gemeinschaftlichen Einrichtungen zu nutzen.</w:t>
      </w:r>
    </w:p>
    <w:p>
      <w:r>
        <w:t xml:space="preserve">(2) Die Nutzung der gemeinschaftlichen Einrichtungen eines Vereins erfolgt durch Ausübung der Rechte als Vereinsmitglied. Wird der Grundstückseigentümer nicht Mitglied, kann er die Nutzung dieser Einrichtungen gegen Zahlung eines angemessenen Entgelts verlangen.</w:t>
      </w:r>
    </w:p>
    <w:p>
      <w:r>
        <w:t xml:space="preserve">(3) Eine Personengemeinschaft nach § 4 Abs. 2 kann für die Nutzung der Einrichtungen ein angemessenes Entgelt verlangen, wenn der Grundstückseigentümer nicht Mitglied der Gemeinschaft wird.</w:t>
      </w:r>
    </w:p>
    <w:p>
      <w:r>
        <w:rPr>
          <w:color w:val="555555"/>
          <w:sz w:val="17"/>
        </w:rPr>
        <w:t xml:space="preserve">Zitiervorschlag: § 32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