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SchuldRAnpG — Kündigung durch den Zwischenpächter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Zwischenpächter kann den Vertrag mit dem unmittelbar Nutzungsberechtigten auch kündigen, wenn die Beendigung des Vertrages zur Neuordnung der Siedlung erforderlich ist.</w:t>
      </w:r>
    </w:p>
    <w:p>
      <w:r>
        <w:t xml:space="preserve">(2) Die Entschädigung nach den §§ 12, 14 und 27 sowie die Abbruchkosten hat der Zwischenpächter zu tragen.</w:t>
      </w:r>
    </w:p>
    <w:p>
      <w:r>
        <w:rPr>
          <w:color w:val="555555"/>
          <w:sz w:val="17"/>
        </w:rPr>
        <w:t xml:space="preserve">Zitiervorschlag: § 31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