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SchuldRAnpG — Kündigung des Zwischenpachtvertrages</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Der Grundstückseigentümer ist berechtigt, die Kündigung des Zwischenpachtvertrages auf eine Teilfläche zu beschränken. Ist eine Interessenabwägung nach § 23 Abs. 2 Nr. 1 oder Abs. 3 Nr. 2 vorzunehmen, sind auch die Belange des unmittelbar Nutzungsberechtigten zu berücksichtigen. Im Falle einer Teilflächenkündigung wird der Zwischenpachtvertrag über die Restfläche fortgesetzt.</w:t>
      </w:r>
    </w:p>
    <w:p>
      <w:r>
        <w:t xml:space="preserve">(2) Wird das Vertragsverhältnis aus einem in der Person des Zwischenpächters liegenden Grund gekündigt, tritt der Grundstückseigentümer in die Vertragsverhältnisse des Zwischenpächters mit den unmittelbar Nutzungsberechtigten ein. Schließt der Grundstückseigentümer mit einem anderen Zwischenpächter einen Vertrag ab, so tritt dieser anstelle des bisherigen Zwischenpächters in die Vertragsverhältnisse mit den unmittelbar Nutzungsberechtigten ein.</w:t>
      </w:r>
    </w:p>
    <w:p>
      <w:r>
        <w:rPr>
          <w:color w:val="555555"/>
          <w:sz w:val="17"/>
        </w:rPr>
        <w:t xml:space="preserve">Zitiervorschlag: § 30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