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SchuldRAnpG — Nutzungsrechtsbestellung mit Nutzungsvertrag</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Wurde der Vertrag im Zusammenhang mit der Bestellung eines Nutzungsrechts zur Errichtung eines Eigenheimes abgeschlossen und bilden die genutzten Flächen eine räumliche Einheit, die die für den Eigenheimbau vorgesehene Regelgröße von 500 Quadratmetern übersteigt, so kann der Grundstückseigentümer den Vertrag abweichend von § 23 ganz oder hinsichtlich einer Teilfläche kündigen, soweit die betroffene Fläche abtrennbar und selbständig baulich nutzbar ist und dem Nutzer mindestens eine Gesamtfläche von 500 Quadratmetern verbleibt. Die Kündigung ist ferner zulässig, soweit die betroffene Fläche abtrennbar und angemessen wirtschaftlich nutzbar ist und dem Nutzer mindestens eine Gesamtfläche von 1.000 Quadratmetern verbleibt. § 13 des Sachenrechtsbereinigungsgesetzes ist entsprechend anzuwenden.</w:t>
      </w:r>
    </w:p>
    <w:p>
      <w:r>
        <w:t xml:space="preserve">(2) Wird der Vertrag gemäß Absatz 1 hinsichtlich einer Teilfläche gekündigt, so wird er über die Restfläche fortgesetzt. Der Nutzer kann eine Anpassung des Nutzungsentgelts verlangen. Das angepaßte Entgelt wird vom Beginn des Kalendermonats an geschuldet, in dem die Kündigung wirksam wird.</w:t>
      </w:r>
    </w:p>
    <w:p>
      <w:r>
        <w:t xml:space="preserve">(3) Die Kündigung ist spätestens am dritten Werktag eines Kalendermonats für den Ablauf des auf die Kündigung folgenden fünften Monats zulässig, wenn sich nicht aus § 584 Abs. 1 des Bürgerlichen Gesetzbuchs eine längere Frist ergibt.</w:t>
      </w:r>
    </w:p>
    <w:p>
      <w:r>
        <w:t xml:space="preserve">(4) Der Nutzer kann einer Kündigung nach Absatz 1 widersprechen, wenn die Beendigung des Vertrages für ihn zu einer unzumutbaren Härte im Sinne des § 26 Abs. 3 des Sachenrechtsbereinigungsgesetzes führen würde. Der Grundstückseigentümer kann in diesem Fall vom Nutzer den Ankauf des Grundstücks zum ungeteilten Bodenwert nach Maßgabe der Bestimmungen des Sachenrechtsbereinigungsgesetzes verlangen.</w:t>
      </w:r>
    </w:p>
    <w:p>
      <w:r>
        <w:rPr>
          <w:color w:val="555555"/>
          <w:sz w:val="17"/>
        </w:rPr>
        <w:t xml:space="preserve">Zitiervorschlag: § 25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