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SchuldRAnpG — Sonderregelungen für bewohnte Gebäude</w:t>
      </w:r>
    </w:p>
    <w:p>
      <w:r>
        <w:rPr>
          <w:color w:val="555555"/>
          <w:sz w:val="18"/>
        </w:rPr>
        <w:t xml:space="preserve">Schuldrechtsanpassungsgesetz</w:t>
      </w:r>
    </w:p>
    <w:p>
      <w:r>
        <w:rPr>
          <w:color w:val="555555"/>
          <w:sz w:val="18"/>
        </w:rPr>
        <w:t xml:space="preserve">Stand: 10.06.2019 (konsolidierte Textfassung, kein amtliches Inkrafttretensdatum)</w:t>
      </w:r>
    </w:p>
    <w:p>
      <w:r>
        <w:t xml:space="preserve">(1) Wohnt der Nutzer in einem zum dauernden Wohnen geeigneten Wochenendhaus, kann er auch nach Ablauf der in § 23 genannten Fristen der Kündigung des Grundstückseigentümers widersprechen und die Fortsetzung des Vertragsverhältnisses verlangen, wenn die Beendigung des Vertragsverhältnisses für ihn oder seine Familie eine Härte bedeuten würde, die auch unter Berücksichtigung der Interessen des Grundstückseigentümers nicht zu rechtfertigen ist. Die §§ 574 bis 574b des Bürgerlichen Gesetzbuchs sind entsprechend anzuwenden.</w:t>
      </w:r>
    </w:p>
    <w:p>
      <w:r>
        <w:t xml:space="preserve">(2) Ist das Grundstück veräußert worden, kann der Erwerber vor Ablauf von drei Jahren seit der Eintragung der Rechtsänderung in das Grundbuch nicht kündigen, wenn er das Grundstück einer in § 23 Abs. 2 Nr. 1 und Abs. 3 Nr. 1 und 2 genannten Verwendung zuführen will. Satz 1 ist nicht anzuwenden, wenn der auf die Veräußerung des Grundstücks gerichtete Vertrag vor dem 13. Januar 1994 abgeschlossen worden ist.</w:t>
      </w:r>
    </w:p>
    <w:p>
      <w:r>
        <w:t xml:space="preserve">(3) Die Absätze 1 und 2 sind nicht anzuwenden, wenn der Grundstückseigentümer oder der andere Vertragschließende der Nutzung zu Wohnzwecken ausdrücklich widersprochen hatte.</w:t>
      </w:r>
    </w:p>
    <w:p>
      <w:r>
        <w:t xml:space="preserve">(4) Die Absätze 1 bis 3 sind nicht anzuwenden, wenn der Nutzer nach dem 20. Juli 1993 seine Wohnung aufgibt und ein Wochenendhaus nunmehr dauernd als Wohnung nutzt.</w:t>
      </w:r>
    </w:p>
    <w:p>
      <w:r>
        <w:rPr>
          <w:color w:val="555555"/>
          <w:sz w:val="17"/>
        </w:rPr>
        <w:t xml:space="preserve">Zitiervorschlag: § 24 SchuldRAnpG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https://recht.nulegal.eu/gesetze/SchuldRAnpG/24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