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SchuldRAnpG — Zustimmung zu baulichen Investitionen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Neuerrichtung eines Bauwerks sowie Veränderungen an einem bestehenden Bauwerk, durch die dessen Nutzfläche vergrößert oder dessen Wert nicht nur unwesentlich erhöht wird, bedürfen der Zustimmung des Grundstückseigentümers.</w:t>
      </w:r>
    </w:p>
    <w:p>
      <w:r>
        <w:t xml:space="preserve">(2) Absatz 1 gilt nicht, wenn der Nutzer die beabsichtigten baulichen Investitionen dem Grundstückseigentümer anzeigt, auf ihre Entschädigung nach § 12 verzichtet und sich zur Übernahme der Abbruchkosten verpflichtet.</w:t>
      </w:r>
    </w:p>
    <w:p>
      <w:r>
        <w:rPr>
          <w:color w:val="555555"/>
          <w:sz w:val="17"/>
        </w:rPr>
        <w:t xml:space="preserve">Zitiervorschlag: § 22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