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SchuldRAnpG — Gebrauchsüberlassung an Dritte</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Macht der Grundstückseigentümer innerhalb der Kündigungsschutzfrist seinen Anspruch auf Anpassung des Nutzungsentgelts geltend, kann der Nutzer bis zum Ablauf des zweiten auf die Erhöhungserklärung folgenden Monats vom Grundstückseigentümer die Erlaubnis zur entgeltlichen Überlassung des Grundstücks oder eines Grundstücksteils an einen Dritten verlangen. Ist dem Grundstückseigentümer die Überlassung nur bei einer angemessenen Erhöhung des Nutzungsentgelts zuzumuten, kann er die Erteilung der Erlaubnis davon abhängig machen, daß sich der Nutzer mit einer solchen Erhöhung einverstanden erklärt.</w:t>
      </w:r>
    </w:p>
    <w:p>
      <w:r>
        <w:t xml:space="preserve">(2) Ist dem Grundstückseigentümer die Unterverpachtung unter Berücksichtigung der berechtigten Interessen des Nutzers nicht zuzumuten, kann er den Nutzer unter Hinweis, daß er das Vertragsverhältnis kündigen werde, zur Abgabe einer Erklärung darüber auffordern, ob der Nutzer den Vertrag zu den geänderten Bedingungen auch ohne Unterverpachtung fortsetzen will. Lehnt der Nutzer die Fortsetzung des Vertrages ab oder erklärt er sich innerhalb einer Frist von einem Monat nicht, kann der Grundstückseigentümer die Erteilung der Erlaubnis verweigern und das Vertragsverhältnis unter Einhaltung der sich aus den §§ 580a und 584 des Bürgerlichen Gesetzbuchs ergebenden Frist zum nächstmöglichen Termin kündigen. Bis zu diesem Zeitpunkt ist der Nutzer nur zur Zahlung des bisherigen Nutzungsentgelts verpflichtet.</w:t>
      </w:r>
    </w:p>
    <w:p>
      <w:r>
        <w:rPr>
          <w:color w:val="555555"/>
          <w:sz w:val="17"/>
        </w:rPr>
        <w:t xml:space="preserve">Zitiervorschlag: § 21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