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20a SchuldRAnpG — Beteiligung des Nutzers an öffentlichen Lasten</w:t>
      </w:r>
    </w:p>
    <w:p>
      <w:r>
        <w:rPr>
          <w:color w:val="555555"/>
          <w:sz w:val="18"/>
        </w:rPr>
        <w:t xml:space="preserve">Schuldrechtsanpassungsgesetz</w:t>
      </w:r>
    </w:p>
    <w:p>
      <w:r>
        <w:rPr>
          <w:color w:val="555555"/>
          <w:sz w:val="18"/>
        </w:rPr>
        <w:t xml:space="preserve">Stand: 20.03.2020 (konsolidierte Textfassung, kein amtliches Inkrafttretensdatum)</w:t>
      </w:r>
    </w:p>
    <w:p>
      <w:r>
        <w:t xml:space="preserve">(1) Der Grundstückseigentümer kann vom Nutzer eines außerhalb von Kleingartenanlagen kleingärtnerisch genutzten Grundstücks, eines Erholungsgrundstücks oder eines Freizeitgrundstücks die Erstattung der nach Ablauf des 30. Juni 2001 für das genutzte Grundstück oder den genutzten Grundstücksteil anfallenden regelmäßig wiederkehrenden öffentlichen Lasten verlangen. Das Erstattungsverlangen ist dem Nutzer spätestens bis zum Ablauf des zwölften Monats nach dem Ende eines Pachtjahres für die in diesem Pachtjahr angefallenen Lasten in Textform zu erklären. Nach Ablauf dieser Frist kann eine Erstattung nicht mehr verlangt werden, es sei denn, der Grundstückseigentümer hat die verspätete Geltendmachung nicht zu vertreten.</w:t>
      </w:r>
    </w:p>
    <w:p>
      <w:r>
        <w:t xml:space="preserve">(2) Die Erstattung der für das genutzte Grundstück oder den genutzten Grundstücksteil nach Ablauf des 2. Oktober 1990 grundstücksbezogenen einmalig erhobenen Beiträge und sonstigen Abgaben kann der Grundstückseigentümer vom Nutzer eines außerhalb von Kleingartenanlagen kleingärtnerisch genutzten Grundstücks, eines Erholungsgrundstücks oder eines Freizeitgrundstücks bis zu einer Höhe von 50 Prozent verlangen. Das Erstattungsverlangen ist dem Nutzer schriftlich zu erklären. Von dem nach Satz 1 verlangten Betrag wird jährlich ein Teilbetrag in Höhe von 10 Prozent zum Ende des Pachtjahres fällig, solange das Vertragsverhältnis besteht; der erste Teilbetrag wird jedoch nicht vor Beginn des dritten auf die Erklärung folgenden Monats fällig. Die Erstattung der Erschließungsbeiträge nach den §§ 127 bis 135 des Baugesetzbuches kann der Grundstückseigentümer nicht verlangen, soweit die Beiträge zinslos gestundet sind.</w:t>
      </w:r>
    </w:p>
    <w:p>
      <w:r>
        <w:t xml:space="preserve">(3) Die Absätze 1 und 2 gelten sinngemäß, wenn sich das Grundstück im Eigentum der Gemeinde befindet.</w:t>
      </w:r>
    </w:p>
    <w:p>
      <w:r>
        <w:t xml:space="preserve">(4) Vor dem 1. Juni 2002 ergangene rechtskräftige Entscheidungen bleiben unberührt.</w:t>
      </w:r>
    </w:p>
    <w:p>
      <w:r>
        <w:rPr>
          <w:color w:val="555555"/>
          <w:sz w:val="17"/>
        </w:rPr>
        <w:t xml:space="preserve">Zitiervorschlag: § 20a SchuldRAnpG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https://recht.nulegal.eu/gesetze/SchuldRAnpG/20a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