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SchuldRAnpG — Nutzungsentgelt</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Der Grundstückseigentümer kann vom Nutzer die Zahlung eines Nutzungsentgelts verlangen. Die Höhe des Entgelts richtet sich nach der Nutzungsentgeltverordnung vom 22. Juli 1993 (BGBl. I S. 1339) in ihrer jeweils gültigen Fassung.</w:t>
      </w:r>
    </w:p>
    <w:p>
      <w:r>
        <w:t xml:space="preserve">(2) Auf die bisher unentgeltlichen Nutzungsverträge sind die Bestimmungen der Nutzungsentgeltverordnung entsprechend anzuwenden. Der Grundstückseigentümer kann den Betrag verlangen, den der Nutzer im Falle einer entgeltlichen Nutzung nach den §§ 3 bis 5 der Nutzungsentgeltverordnung zu zahlen hätte.</w:t>
      </w:r>
    </w:p>
    <w:p>
      <w:r>
        <w:t xml:space="preserve">(3) Hat das Nutzungsentgelt die ortsübliche Höhe erreicht, kann jede Partei bis zum Ablauf der Kündigungsschutzfrist eine Entgeltanpassung nach Maßgabe der folgenden Bestimmungen verlangen. Eine Anpassung ist zulässig, wenn das Nutzungsentgelt seit einem Jahr nicht geändert worden ist und das ortsübliche Entgelt sich seitdem um mehr als zehn vom Hundert verändert hat. Das Anpassungsverlangen ist gegenüber dem anderen Teil in Textform geltend zu machen. Das angepaßte Nutzungsentgelt wird vom Beginn des dritten Kalendermonats an geschuldet, der auf den Zugang des Anpassungsverlangens folgt.</w:t>
      </w:r>
    </w:p>
    <w:p>
      <w:r>
        <w:rPr>
          <w:color w:val="555555"/>
          <w:sz w:val="17"/>
        </w:rPr>
        <w:t xml:space="preserve">Zitiervorschlag: § 20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