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SchuldRAnpG — Nicht einbezogene Rechtsverhältnisse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Bestimmungen dieses Gesetzes sind nicht auf Rechtsverhältnisse anzuwenden, deren Bereinigung im Sachenrechtsbereinigungsgesetz vorgesehen ist. Dies gilt insbesondere für</w:t>
      </w:r>
    </w:p>
    <w:p>
      <w:pPr>
        <w:ind w:left="420"/>
      </w:pPr>
      <w:r>
        <w:t xml:space="preserve">1. Nutzungsverträge nach § 1 Abs. 1 Nr. 1 und 3, wenn die in § 5 Abs. 1 Nr. 3 Satz 2 Buchstabe d und e des Sachenrechtsbereinigungsgesetzes bezeichneten Voraussetzungen des Eigenheimbaus vorliegen,</w:t>
      </w:r>
    </w:p>
    <w:p>
      <w:pPr>
        <w:ind w:left="420"/>
      </w:pPr>
      <w:r>
        <w:t xml:space="preserve">2. Überlassungsverträge nach § 1 Abs. 1 Nr. 2, wenn der Nutzer mit Billigung staatlicher Stellen ein Eigenheim errichtet oder bauliche Investitionen nach § 12 Abs. 2 des Sachenrechtsbereinigungsgesetzes in ein vorhandenes Gebäude vorgenommen hat, und</w:t>
      </w:r>
    </w:p>
    <w:p>
      <w:pPr>
        <w:ind w:left="420"/>
      </w:pPr>
      <w:r>
        <w:t xml:space="preserve">3. Miet-, Pacht- oder sonstige Nutzungsverträge nach § 1 Abs. 1 Nr. 3, wenn der Nutzer für seinen Handwerks- oder Gewerbebetrieb auf einem ehemals volkseigenen Grundstück einen Neubau errichtet oder eine bauliche Maßnahme nach § 12 Abs. 1 des Sachenrechtsbereinigungsgesetzes vorgenommen hat.</w:t>
      </w:r>
    </w:p>
    <w:p>
      <w:r>
        <w:t xml:space="preserve">(2) Dieses Gesetz gilt ferner nicht für die in § 71 des Vertragsgesetzes der Deutschen Demokratischen Republik bezeichneten Verträge.</w:t>
      </w:r>
    </w:p>
    <w:p>
      <w:r>
        <w:t xml:space="preserve">(3) Für Nutzungsverhältnisse innerhalb von Kleingartenanlagen bleibt die Anwendung des Bundeskleingartengesetzes vom 28. Februar 1983 (BGBl. I S. 210), zuletzt geändert durch Artikel 5 des Schuldrechtsänderungsgesetzes vom 21. September 1994 (BGBl. I S. 2538), unberührt. Ist das Grundstück nach Ablauf des 2. Oktober 1990 in eine Kleingartenanlage eingegliedert worden, sind vom Zeitpunkt der Eingliederung an die Bestimmungen des Bundeskleingartengesetzes anzuwenden.</w:t>
      </w:r>
    </w:p>
    <w:p>
      <w:r>
        <w:rPr>
          <w:color w:val="555555"/>
          <w:sz w:val="17"/>
        </w:rPr>
        <w:t xml:space="preserve">Zitiervorschlag: § 2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