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 SchuldRAnpG — Heilung von Mängeln</w:t>
      </w:r>
    </w:p>
    <w:p>
      <w:r>
        <w:rPr>
          <w:color w:val="555555"/>
          <w:sz w:val="18"/>
        </w:rPr>
        <w:t xml:space="preserve">Schuldrechtsanpassungsgesetz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Vertrag nach § 1 Abs. 1 Nr. 1 ist nicht deshalb unwirksam, weil die nach § 312 Abs. 1 Satz 2 des Zivilgesetzbuchs der Deutschen Demokratischen Republik vorgesehene Schriftform nicht eingehalten worden ist.</w:t>
      </w:r>
    </w:p>
    <w:p>
      <w:r>
        <w:t xml:space="preserve">(2) Das Fehlen der Zustimmung zur Bebauung nach § 313 Abs. 2 des Zivilgesetzbuchs ist unbeachtlich, wenn der Nutzungsvertrag von einer staatlichen Stelle abgeschlossen worden ist und eine Behörde dieser Körperschaft dem Nutzer eine Bauzustimmung erteilt hat.</w:t>
      </w:r>
    </w:p>
    <w:p>
      <w:r>
        <w:t xml:space="preserve">(3) Abweichende rechtskräftige Entscheidungen bleiben unberührt.</w:t>
      </w:r>
    </w:p>
    <w:p>
      <w:r>
        <w:rPr>
          <w:color w:val="555555"/>
          <w:sz w:val="17"/>
        </w:rPr>
        <w:t xml:space="preserve">Zitiervorschlag: § 19 SchuldRAnpG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https://recht.nulegal.eu/gesetze/SchuldRAnpG/19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