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SchuldRAnpG — Unredlicher Erwerb</w:t>
      </w:r>
    </w:p>
    <w:p>
      <w:r>
        <w:rPr>
          <w:color w:val="555555"/>
          <w:sz w:val="18"/>
        </w:rPr>
        <w:t xml:space="preserve">Schuldrechtsanpassungsgesetz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Grundstückseigentümer kann ein Vertragsverhältnis nach § 1 Abs. 1 kündigen, wenn der Nutzer beim Abschluß des Vertrages unredlich im Sinne des § 4 des Vermögensgesetzes gewesen ist. Die Kündigung ist spätestens am dritten Werktag eines Kalendermonats für den Ablauf des auf die Kündigung folgenden fünften Monats zulässig. Kündigungen gemäß Satz 1 sind nur wirksam, wenn sie bis zum 31. Dezember 1996 erklärt werden.</w:t>
      </w:r>
    </w:p>
    <w:p>
      <w:r>
        <w:t xml:space="preserve">(2) Der Grundstückseigentümer ist zu einer Kündigung nach Absatz 1 nicht berechtigt, wenn er die Aufhebung des Nutzungsvertrages durch Bescheid des Amtes zur Regelung offener Vermögensfragen beantragen kann oder beantragen konnte.</w:t>
      </w:r>
    </w:p>
    <w:p>
      <w:r>
        <w:t xml:space="preserve">(3) Für ein bis zum Ablauf des 2. Oktober 1990 errichtetes Bauwerk kann der Nutzer eine Entschädigung nach § 12 Abs. 2 verlangen. § 14 ist nicht anzuwenden.</w:t>
      </w:r>
    </w:p>
    <w:p>
      <w:r>
        <w:rPr>
          <w:color w:val="555555"/>
          <w:sz w:val="17"/>
        </w:rPr>
        <w:t xml:space="preserve">Zitiervorschlag: § 17 SchuldRAnpG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https://recht.nulegal.eu/gesetze/SchuldRAnpG/17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