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SchuldRAnpG — Kündigung bei Tod des Nutzers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Stirbt der Nutzer, ist sowohl dessen Erbe als auch der Grundstückseigentümer zur Kündigung des Vertrages nach § 564 Satz 2, § 580 des Bürgerlichen Gesetzbuchs berechtigt.</w:t>
      </w:r>
    </w:p>
    <w:p>
      <w:r>
        <w:t xml:space="preserve">(2) Ein Vertrag nach § 1 Absatz 1 Nummer 1 zur kleingärtnerischen Nutzung, Erholung oder Freizeitgestaltung wird beim Tod eines Nutzers mit dessen Ehegatten oder Lebenspartner fortgesetzt, wenn auch der Ehegatte oder Lebenspartner Nutzer ist.</w:t>
      </w:r>
    </w:p>
    <w:p>
      <w:r>
        <w:rPr>
          <w:color w:val="555555"/>
          <w:sz w:val="17"/>
        </w:rPr>
        <w:t xml:space="preserve">Zitiervorschlag: § 16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