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SchuldRAnpG — Entschädigung für das Bauwerk</w:t>
      </w:r>
    </w:p>
    <w:p>
      <w:r>
        <w:rPr>
          <w:color w:val="555555"/>
          <w:sz w:val="18"/>
        </w:rPr>
        <w:t xml:space="preserve">Schuldrechtsanpassungsgesetz</w:t>
      </w:r>
    </w:p>
    <w:p>
      <w:r>
        <w:rPr>
          <w:color w:val="555555"/>
          <w:sz w:val="18"/>
        </w:rPr>
        <w:t xml:space="preserve">Stand: 10.06.2019 (konsolidierte Textfassung, kein amtliches Inkrafttretensdatum)</w:t>
      </w:r>
    </w:p>
    <w:p>
      <w:r>
        <w:t xml:space="preserve">(1) Der Grundstückseigentümer hat dem Nutzer nach Beendigung des Vertragsverhältnisses eine Entschädigung für ein entsprechend den Rechtsvorschriften der Deutschen Demokratischen Republik errichtetes Bauwerk nach Maßgabe der folgenden Vorschriften zu leisten. Das Recht des Nutzers, für ein rechtswidrig errichtetes Bauwerk Ersatz nach Maßgabe der Vorschriften über die Herausgabe einer ungerechtfertigten Bereicherung zu verlangen, bleibt unberührt.</w:t>
      </w:r>
    </w:p>
    <w:p>
      <w:r>
        <w:t xml:space="preserve">(2) Endet das Vertragsverhältnis durch Kündigung des Grundstückseigentümers, ist die Entschädigung nach dem Zeitwert des Bauwerks im Zeitpunkt der Rückgabe des Grundstücks zu bemessen. Satz 1 ist nicht anzuwenden, wenn der Nutzer durch sein Verhalten Anlaß zu einer Kündigung aus wichtigem Grund gegeben hat oder das Vertragsverhältnis zu einem Zeitpunkt endet, in dem die Frist, in der der Grundstückseigentümer nur unter den in diesem Gesetz genannten besonderen Voraussetzungen zur Kündigung berechtigt ist (Kündigungsschutzfrist), seit mindestens sieben Jahren verstrichen ist.</w:t>
      </w:r>
    </w:p>
    <w:p>
      <w:r>
        <w:t xml:space="preserve">(3) In anderen als den in Absatz 2 genannten Fällen kann der Nutzer eine Entschädigung verlangen, soweit der Verkehrswert des Grundstücks durch das Bauwerk im Zeitpunkt der Rückgabe erhöht ist.</w:t>
      </w:r>
    </w:p>
    <w:p>
      <w:r>
        <w:t xml:space="preserve">(4) Der Nutzer ist zur Wegnahme des Bauwerks berechtigt. Er kann das Bauwerk vom Grundstück abtrennen und sich aneignen. § 258 des Bürgerlichen Gesetzbuchs ist anzuwenden.</w:t>
      </w:r>
    </w:p>
    <w:p>
      <w:r>
        <w:t xml:space="preserve">(5) Ansprüche des Nutzers auf Wertersatz wegen anderer werterhöhender Maßnahmen nach den allgemeinen Vorschriften bleiben von den Bestimmungen dieses Gesetzes unberührt.</w:t>
      </w:r>
    </w:p>
    <w:p>
      <w:r>
        <w:rPr>
          <w:color w:val="555555"/>
          <w:sz w:val="17"/>
        </w:rPr>
        <w:t xml:space="preserve">Zitiervorschlag: § 12 SchuldRAnpG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https://recht.nulegal.eu/gesetze/SchuldRAnpG/12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