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SchuldRAnpG — Verantwortlichkeit für Fehler oder Schäden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Grundstückseigentümer haftet dem Nutzer nicht für Fehler oder Schäden, die infolge eines Umstandes eingetreten sind, den der andere Vertragschließende zu vertreten hat.</w:t>
      </w:r>
    </w:p>
    <w:p>
      <w:r>
        <w:t xml:space="preserve">(2) Soweit der Grundstückseigentümer nach Absatz 1 nicht haftet, kann der Nutzer unbeschadet des gesetzlichen Vertragseintritts Schadensersatz von dem anderen Vertragschließenden verlangen.</w:t>
      </w:r>
    </w:p>
    <w:p>
      <w:r>
        <w:rPr>
          <w:color w:val="555555"/>
          <w:sz w:val="17"/>
        </w:rPr>
        <w:t xml:space="preserve">Zitiervorschlag: § 10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