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SchuldRAnpG — Betroffene Rechtsverhältnisse</w:t>
      </w:r>
    </w:p>
    <w:p>
      <w:r>
        <w:rPr>
          <w:color w:val="555555"/>
          <w:sz w:val="18"/>
        </w:rPr>
        <w:t xml:space="preserve">Schuldrechtsanpassungsgesetz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regelt Rechtsverhältnisse an Grundstücken in dem in Artikel 3 des Einigungsvertrages genannten Gebiet (Beitrittsgebiet), die aufgrund</w:t>
      </w:r>
    </w:p>
    <w:p>
      <w:pPr>
        <w:ind w:left="420"/>
      </w:pPr>
      <w:r>
        <w:t xml:space="preserve">1. eines Vertrages zum Zwecke der kleingärtnerischen Nutzung, Erholung oder Freizeitgestaltung oder zur Errichtung von Garagen oder anderen persönlichen, jedoch nicht Wohnzwecken dienenden Bauwerken überlassen,</w:t>
      </w:r>
    </w:p>
    <w:p>
      <w:pPr>
        <w:ind w:left="420"/>
      </w:pPr>
      <w:r>
        <w:t xml:space="preserve">2. eines Überlassungsvertrages im Sinne des Artikels 232 § 1a des Einführungsgesetzes zum Bürgerlichen Gesetzbuche zu Wohnzwecken oder zu gewerblichen Zwecken übergeben oder</w:t>
      </w:r>
    </w:p>
    <w:p>
      <w:pPr>
        <w:ind w:left="420"/>
      </w:pPr>
      <w:r>
        <w:t xml:space="preserve">3. eines Miet-, Pacht- oder sonstigen Nutzungsvertrages von einem anderen als dem Grundstückseigentümer bis zum Ablauf des 2. Oktober 1990 mit Billigung staatlicher Stellen mit einem Wohn- oder gewerblichen Zwecken dienenden Bauwerk bebaut</w:t>
      </w:r>
    </w:p>
    <w:p>
      <w:r>
        <w:t xml:space="preserve">worden sind.</w:t>
      </w:r>
    </w:p>
    <w:p>
      <w:r>
        <w:t xml:space="preserve">(2) Wurde das Grundstück einem anderen als dem unmittelbar Nutzungsberechtigten (Zwischenpächter) zum Zwecke der vertraglichen Überlassung an Dritte übergeben, sind die Bestimmungen dieses Gesetzes auch auf diesen Vertrag anzuwenden.</w:t>
      </w:r>
    </w:p>
    <w:p>
      <w:r>
        <w:rPr>
          <w:color w:val="555555"/>
          <w:sz w:val="17"/>
        </w:rPr>
        <w:t xml:space="preserve">Zitiervorschlag: § 1 SchuldRAnpG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https://recht.nulegal.eu/gesetze/SchuldRAnpG/1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