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SchulbauV (Bayern)</w:t>
      </w:r>
    </w:p>
    <w:p>
      <w:r>
        <w:rPr>
          <w:color w:val="555555"/>
          <w:sz w:val="18"/>
        </w:rPr>
        <w:t xml:space="preserve">Schulbauverordnung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Räume und Anlagen für die einzelnen Schularten und für den Sportunterricht sowie für Verköstigungseinrichtungen ergeben sich beispielhaft aus den Anlagen 1 bis 9.</w:t>
      </w:r>
    </w:p>
    <w:p>
      <w:r>
        <w:rPr>
          <w:color w:val="555555"/>
          <w:sz w:val="17"/>
        </w:rPr>
        <w:t xml:space="preserve">Zitiervorschlag: § 3 SchulbauV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https://recht.nulegal.eu/gesetze/SchulbauV/3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