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SchulLV (Brandenburg) — Fachliche Voraussetzungen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fachlichen Voraussetzungen für die Laufbahn gemäß § 7 besitzen Lehrkräfte mit der Befähigung für das</w:t>
      </w:r>
    </w:p>
    <w:p>
      <w:r>
        <w:t xml:space="preserve">Lehramt für die Bildungsgänge der Sekundarstufe I und der Primarstufe an allgemeinbildenden Schulen,</w:t>
      </w:r>
    </w:p>
    <w:p>
      <w:r>
        <w:t xml:space="preserve">Lehramt für die Sekundarstufen I und II (allgemeinbildende Fächer) mit einer Schwerpunktbildung auf die Sekundarstufe I und</w:t>
      </w:r>
    </w:p>
    <w:p>
      <w:r>
        <w:t xml:space="preserve">Lehramt für die Sekundarstufen I und II (allgemeinbildende Fächer) bei einer Schwerpunktbildung auf die Sekundarstufe II.</w:t>
      </w:r>
    </w:p>
    <w:p>
      <w:r>
        <w:rPr>
          <w:color w:val="555555"/>
          <w:sz w:val="17"/>
        </w:rPr>
        <w:t xml:space="preserve">Zitiervorschlag: § 8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