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SchulLV (Brandenburg) — Laufbahn der Lehrerin und des Lehrers für die Sekundarstufe I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Laufbahn gehören als</w:t>
      </w:r>
    </w:p>
    <w:p>
      <w:r>
        <w:t xml:space="preserve">Eingangsamt das Amt der Lehrerin, des Lehrers (Besoldungsgruppe A 13) und</w:t>
      </w:r>
    </w:p>
    <w:p>
      <w:r>
        <w:t xml:space="preserve">Beförderungsämter</w:t>
      </w:r>
    </w:p>
    <w:p>
      <w:r>
        <w:t xml:space="preserve">das Amt der Zweiten Gesamtschulkonrektorin, des Zweiten Gesamtschulkonrektors (Besoldungsgruppe A 14),</w:t>
      </w:r>
    </w:p>
    <w:p>
      <w:r>
        <w:t xml:space="preserve">das Amt der Zweiten Oberschulkonrektorin, des Zweiten Oberschulkonrektors (Besoldungsgruppe A 14),</w:t>
      </w:r>
    </w:p>
    <w:p>
      <w:r>
        <w:t xml:space="preserve">das Amt der Oberschulkonrektorin, des Oberschulkonrektors (Besoldungsgruppe A 14)</w:t>
      </w:r>
    </w:p>
    <w:p>
      <w:r>
        <w:t xml:space="preserve">das Amt der Oberschulrektorin, des Oberschulrektors (Besoldungsgruppe A 14) und</w:t>
      </w:r>
    </w:p>
    <w:p>
      <w:r>
        <w:t xml:space="preserve">das Amt der Oberschulrektorin, des Oberschulrektors (Besoldungsgruppe A 15).</w:t>
      </w:r>
    </w:p>
    <w:p>
      <w:r>
        <w:rPr>
          <w:color w:val="555555"/>
          <w:sz w:val="17"/>
        </w:rPr>
        <w:t xml:space="preserve">Zitiervorschlag: § 7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