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SchulLV (Brandenburg) — Inkrafttreten, Außerkrafttreten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Schullaufbahnverordnung vom 24. Juni 1999 ( GVBl. II S. 378) außer Kraft.</w:t>
      </w:r>
    </w:p>
    <w:p>
      <w:r>
        <w:t xml:space="preserve">Potsdam, den 16. August 2022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rPr>
          <w:color w:val="555555"/>
          <w:sz w:val="17"/>
        </w:rPr>
        <w:t xml:space="preserve">Zitiervorschlag: § 40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SchulLV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