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SchulLV (Brandenburg) — Schwerbehinderte</w:t>
      </w:r>
    </w:p>
    <w:p>
      <w:r>
        <w:rPr>
          <w:color w:val="555555"/>
          <w:sz w:val="18"/>
        </w:rPr>
        <w:t xml:space="preserve">Schullaufbahnverordnung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Von Schwerbehinderten darf bei der Einstellung, Übertragung höherbewerteter Dienstposten und Beförderung nur das Mindestmaß körperlicher Eignung verlangt werden.</w:t>
      </w:r>
    </w:p>
    <w:p>
      <w:r>
        <w:t xml:space="preserve">(2) Im Prüfungsverfahren und bei der Erstellung von Leistungsnachweisen sind für Schwerbehinderte die ihrer Behinderung angemessenen Erleichterungen vorzusehen. Die fachlichen Anforderungen dürfen nicht geringer bemessen werden.</w:t>
      </w:r>
    </w:p>
    <w:p>
      <w:r>
        <w:t xml:space="preserve">(3) Bei der Beurteilung der Leistung Schwerbehinderter sind Minderungen der Arbeits- und Verwendungsfähigkeit durch die Behinderung zu berücksichtigen.</w:t>
      </w:r>
    </w:p>
    <w:p>
      <w:r>
        <w:rPr>
          <w:color w:val="555555"/>
          <w:sz w:val="17"/>
        </w:rPr>
        <w:t xml:space="preserve">Zitiervorschlag: § 32 SchulLV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https://recht.nulegal.eu/gesetze/SchulLV/32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