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SchulLV (Brandenburg) — Überspringen von Ämtern</w:t>
      </w:r>
    </w:p>
    <w:p>
      <w:r>
        <w:rPr>
          <w:color w:val="555555"/>
          <w:sz w:val="18"/>
        </w:rPr>
        <w:t xml:space="preserve">Schullaufbahnverordnung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Schulaufsichtsdienst muss das Amt der Besoldungsgruppe A 15 nicht regelmäßig durchlaufen werden, wenn</w:t>
      </w:r>
    </w:p>
    <w:p>
      <w:r>
        <w:t xml:space="preserve">ein Beförderungsamt im Schuldienst seit mindestens einem Jahr übertragen wurde und</w:t>
      </w:r>
    </w:p>
    <w:p>
      <w:r>
        <w:t xml:space="preserve">das bisherige Amt mindestens derselben Besoldungsgruppe zugeordnet ist wie das zu übertragende Amt.</w:t>
      </w:r>
    </w:p>
    <w:p>
      <w:r>
        <w:rPr>
          <w:color w:val="555555"/>
          <w:sz w:val="17"/>
        </w:rPr>
        <w:t xml:space="preserve">Zitiervorschlag: § 22 SchulLV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https://recht.nulegal.eu/gesetze/SchulLV/22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SchulLV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