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18e SchulLV (Brandenburg) — Fachliche Voraussetzungen</w:t>
      </w:r>
    </w:p>
    <w:p>
      <w:r>
        <w:rPr>
          <w:color w:val="555555"/>
          <w:sz w:val="18"/>
        </w:rPr>
        <w:t xml:space="preserve">Schullaufbahnverordnung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Die fachlichen Voraussetzungen für die Laufbahn gemäß § 18d erfüllen Lehrkräfte mit einer Befähigung zum Unterrichten in zwei Fächern an allgemeinbildenden Schulen und an Oberstufenzentren gemäß § 8a Absatz 1 und 3 des Brandenburgischen Lehrerbildungsgesetzes.</w:t>
      </w:r>
    </w:p>
    <w:p>
      <w:r>
        <w:rPr>
          <w:color w:val="555555"/>
          <w:sz w:val="17"/>
        </w:rPr>
        <w:t xml:space="preserve">Zitiervorschlag: § 18e SchulLV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https://recht.nulegal.eu/gesetze/SchulLV/18e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