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18c SchulLV (Brandenburg) — Voraussetzungen für die Beförderung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Zur Bildungsamtsrätin, zum Bildungsamtsrat (Besoldungsgruppe A 12) kann befördert werden, wer die</w:t>
      </w:r>
    </w:p>
    <w:p>
      <w:r>
        <w:t xml:space="preserve">fachlichen Voraussetzungen gemäß § 18b erfüllt und zusätzlich eine zweite achtzehnmonatige Zertifikatsqualifizierung mit Studienleistungen im Umfang von 45 Leistungspunkten nach ECTS mit bestandener Prüfung nachweist.</w:t>
      </w:r>
    </w:p>
    <w:p>
      <w:r>
        <w:rPr>
          <w:color w:val="555555"/>
          <w:sz w:val="17"/>
        </w:rPr>
        <w:t xml:space="preserve">Zitiervorschlag: § 18c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https://recht.nulegal.eu/gesetze/SchulLV/18c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