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18a SchulLV (Brandenburg) — Laufbahn der Bildungsamtfrau und des Bildungsamtmanns an allgemeinbildenden Schulen und an Oberstufenzentren</w:t>
      </w:r>
    </w:p>
    <w:p>
      <w:r>
        <w:rPr>
          <w:color w:val="555555"/>
          <w:sz w:val="18"/>
        </w:rPr>
        <w:t xml:space="preserve">Schullaufbahnverordnung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Zur Laufbahn gehören als</w:t>
      </w:r>
    </w:p>
    <w:p>
      <w:r>
        <w:t xml:space="preserve">Eingangsamt das Amt der Bildungsamtfrau, des Bildungsamtmanns (Besoldungsgruppe A 11) und</w:t>
      </w:r>
    </w:p>
    <w:p>
      <w:r>
        <w:t xml:space="preserve">Beförderungsamt das Amt der Bildungsamtsrätin, des Bildungsamtsrats (Besoldungsgruppe A 12).</w:t>
      </w:r>
    </w:p>
    <w:p>
      <w:r>
        <w:rPr>
          <w:color w:val="555555"/>
          <w:sz w:val="17"/>
        </w:rPr>
        <w:t xml:space="preserve">Zitiervorschlag: § 18a SchulLV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https://recht.nulegal.eu/gesetze/SchulLV/18a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18a SchulLV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