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 SchulLV (Brandenburg) — Voraussetzungen für die Beförderung</w:t>
      </w:r>
    </w:p>
    <w:p>
      <w:r>
        <w:rPr>
          <w:color w:val="555555"/>
          <w:sz w:val="18"/>
        </w:rPr>
        <w:t xml:space="preserve">Schullaufbahnverordnung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Wer die fachlichen Voraussetzungen gemäß § 14 erfüllt, kann befördert werden</w:t>
      </w:r>
    </w:p>
    <w:p>
      <w:r>
        <w:t xml:space="preserve">zur Oberstudienrätin, zum Oberstudienrat (Besoldungsgruppe A 14), wenn eine mindestens zweijährige Dienstzeit und davon mindestens ein Jahr an einer beruflichen Schule abgeleistet wurde,</w:t>
      </w:r>
    </w:p>
    <w:p>
      <w:r>
        <w:t xml:space="preserve">zur Studiendirektorin, zum Studiendirektor (Besoldungsgruppe A 15), wenn eine mindestens vierjährige Dienstzeit und davon mindestens zwei Jahre an einer beruflichen Schule abgeleistet wurde und</w:t>
      </w:r>
    </w:p>
    <w:p>
      <w:r>
        <w:t xml:space="preserve">zur Oberstudiendirektorin, zum Oberstudiendirektor (Besoldungsgruppe A 16), wenn eine mindestens sechsjährige Dienstzeit und davon mindestens drei Jahre an einer beruflichen Schule abgeleistet wurde.</w:t>
      </w:r>
    </w:p>
    <w:p>
      <w:r>
        <w:t xml:space="preserve">(2) § 12 Absatz 2 gilt entsprechend.</w:t>
      </w:r>
    </w:p>
    <w:p>
      <w:r>
        <w:rPr>
          <w:color w:val="555555"/>
          <w:sz w:val="17"/>
        </w:rPr>
        <w:t xml:space="preserve">Zitiervorschlag: § 15 SchulLV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https://recht.nulegal.eu/gesetze/SchulLV/15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