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SchulLV (Brandenburg) — Laufbahn der Studienrätin und des Studienrats (berufliche Fächer)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Laufbahn gehören als</w:t>
      </w:r>
    </w:p>
    <w:p>
      <w:r>
        <w:t xml:space="preserve">Eingangsamt das Amt der Studienrätin, des Studienrats (Besoldungsgruppe A 13) und</w:t>
      </w:r>
    </w:p>
    <w:p>
      <w:r>
        <w:t xml:space="preserve">Beförderungsämter</w:t>
      </w:r>
    </w:p>
    <w:p>
      <w:r>
        <w:t xml:space="preserve">das Amt der Oberstudienrätin, des Oberstudienrats (Besoldungsgruppe A 14),</w:t>
      </w:r>
    </w:p>
    <w:p>
      <w:r>
        <w:t xml:space="preserve">das Amt der Studiendirektorin, des Studiendirektors (Besoldungsgruppe A 15) und</w:t>
      </w:r>
    </w:p>
    <w:p>
      <w:r>
        <w:t xml:space="preserve">das Amt der Oberstudiendirektorin, des Oberstudiendirektors (Besoldungsgruppe A 16).</w:t>
      </w:r>
    </w:p>
    <w:p>
      <w:r>
        <w:rPr>
          <w:color w:val="555555"/>
          <w:sz w:val="17"/>
        </w:rPr>
        <w:t xml:space="preserve">Zitiervorschlag: § 13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