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SchulLV (Brandenburg) — Geltungsbereich</w:t>
      </w:r>
    </w:p>
    <w:p>
      <w:r>
        <w:rPr>
          <w:color w:val="555555"/>
          <w:sz w:val="18"/>
        </w:rPr>
        <w:t xml:space="preserve">Schullaufbahnverordnung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Diese Verordnung gilt für die Beamtinnen und Beamten des Schul- und Schulaufsichtsdienstes des Landes Brandenburg.</w:t>
      </w:r>
    </w:p>
    <w:p>
      <w:r>
        <w:rPr>
          <w:color w:val="555555"/>
          <w:sz w:val="17"/>
        </w:rPr>
        <w:t xml:space="preserve">Zitiervorschlag: § 1 SchulLV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https://recht.nulegal.eu/gesetze/SchulLV/1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