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SchulKonfVO (Sachsen) — Wahl der Vertreter der Eltern und ihrer Stellvertreter</w:t>
      </w:r>
    </w:p>
    <w:p>
      <w:r>
        <w:rPr>
          <w:color w:val="555555"/>
          <w:sz w:val="18"/>
        </w:rPr>
        <w:t xml:space="preserve">Schulkonferenzverordnung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Wahl der Vertreter der Eltern in der Schulkonferenz und ihrer Stellvertreter erfolgt im Elternrat.</w:t>
      </w:r>
    </w:p>
    <w:p>
      <w:r>
        <w:t xml:space="preserve">(2) Wahlberechtigt und wählbar sind alle Mitglieder des Elternrates.</w:t>
      </w:r>
    </w:p>
    <w:p>
      <w:r>
        <w:t xml:space="preserve">(3) § 2 Abs. 3 und 4 gilt entsprechend.</w:t>
      </w:r>
    </w:p>
    <w:p>
      <w:r>
        <w:rPr>
          <w:color w:val="555555"/>
          <w:sz w:val="17"/>
        </w:rPr>
        <w:t xml:space="preserve">Zitiervorschlag: § 3 SchulKonfVO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https://recht.nulegal.eu/gesetze/SchulKonfVO/3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