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SchulInfraVO (Sachsen)</w:t>
      </w:r>
    </w:p>
    <w:p>
      <w:r>
        <w:rPr>
          <w:color w:val="555555"/>
          <w:sz w:val="18"/>
        </w:rPr>
        <w:t xml:space="preserve">Schulinfrastrukturverordnung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 Grund des § 3b Absatz 2 Satz 3 des Sächsischen Schulgesetzes in der Fassung der Bekanntmachung vom 27. September 2018 (SächsGVBl. S. 648) verordnet das Staatsministerium für Kultus im Einvernehmen mit dem Staatsministerium der Finanzen:</w:t>
      </w:r>
    </w:p>
    <w:p>
      <w:r>
        <w:rPr>
          <w:color w:val="555555"/>
          <w:sz w:val="17"/>
        </w:rPr>
        <w:t xml:space="preserve">Zitiervorschlag: Eingangsformel SchulInfraVO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https://recht.nulegal.eu/gesetze/SchulInfraVO/eingangsformel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