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SchulInfraVO (Sachsen) — Auszahlung</w:t>
      </w:r>
    </w:p>
    <w:p>
      <w:r>
        <w:rPr>
          <w:color w:val="555555"/>
          <w:sz w:val="18"/>
        </w:rPr>
        <w:t xml:space="preserve">Schulinfrastrukturverordnung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Zuweisungen werden von der Bewilligungsstelle wie folgt ausgezahlt:</w:t>
      </w:r>
    </w:p>
    <w:p>
      <w:r>
        <w:t xml:space="preserve">1. 40 Prozent der Zuweisung nach Bestandskraft des Zuweisungsbescheides,</w:t>
      </w:r>
    </w:p>
    <w:p>
      <w:r>
        <w:t xml:space="preserve">2. 50 Prozent der Zuweisung nach Vorlage des Verwendungsnachweises und</w:t>
      </w:r>
    </w:p>
    <w:p>
      <w:r>
        <w:t xml:space="preserve">3. 10 Prozent der Zuweisung nach Prüfung des Verwendungsnachweises, soweit sich daraus keine Beanstandungen ergeben und keine Rückforderungen geltend gemacht werden.</w:t>
      </w:r>
    </w:p>
    <w:p>
      <w:r>
        <w:rPr>
          <w:color w:val="555555"/>
          <w:sz w:val="17"/>
        </w:rPr>
        <w:t xml:space="preserve">Zitiervorschlag: § 8 SchulInfraVO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https://recht.nulegal.eu/gesetze/SchulInfraVO/8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