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SchulInfraVO (Sachsen) — Gegenstand der Zuweisung</w:t>
      </w:r>
    </w:p>
    <w:p>
      <w:r>
        <w:rPr>
          <w:color w:val="555555"/>
          <w:sz w:val="18"/>
        </w:rPr>
        <w:t xml:space="preserve">Schulinfrastrukturverordnung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Mittel werden zugewiesen für</w:t>
      </w:r>
    </w:p>
    <w:p>
      <w:r>
        <w:t xml:space="preserve">1. den Neubau, die Erweiterung und die Sanierung von Schulgebäuden einschließlich Schulhorten, Schulaußenanlagen, Schulsporthallen und Schulsportaußenanlagen sowie bei Baumaßnahmen für die mit dem Gebäude bestimmungsgemäß fest verbundene Ausstattung einschließlich digitaler Infrastruktur,</w:t>
      </w:r>
    </w:p>
    <w:p>
      <w:r>
        <w:t xml:space="preserve">2. den Neubau, die Erweiterung und die Sanierung von Wohnheimen einschließlich Außenanlagen sowie bei Baumaßnahmen für die mit dem Gebäude bestimmungsgemäß fest verbundene Ausstattung.</w:t>
      </w:r>
    </w:p>
    <w:p>
      <w:r>
        <w:rPr>
          <w:color w:val="555555"/>
          <w:sz w:val="17"/>
        </w:rPr>
        <w:t xml:space="preserve">Zitiervorschlag: § 2 SchulInfraVO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https://recht.nulegal.eu/gesetze/SchulInfraVO/2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