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SchulInfraVO (Sachsen) — Inkrafttreten</w:t>
      </w:r>
    </w:p>
    <w:p>
      <w:r>
        <w:rPr>
          <w:color w:val="555555"/>
          <w:sz w:val="18"/>
        </w:rPr>
        <w:t xml:space="preserve">Schulinfrastrukturverordnung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22. Januar 2020</w:t>
      </w:r>
    </w:p>
    <w:p>
      <w:r>
        <w:t xml:space="preserve">Der Staatsminister für Kultus</w:t>
      </w:r>
    </w:p>
    <w:p>
      <w:r>
        <w:t xml:space="preserve">Christian Piwarz</w:t>
      </w:r>
    </w:p>
    <w:p>
      <w:r>
        <w:rPr>
          <w:color w:val="555555"/>
          <w:sz w:val="17"/>
        </w:rPr>
        <w:t xml:space="preserve">Zitiervorschlag: § 11 SchulInfraVO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https://recht.nulegal.eu/gesetze/SchulInfraVO/11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