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SchulInfraVO (Sachsen) — Weitere Nebenbestimmung</w:t>
      </w:r>
    </w:p>
    <w:p>
      <w:r>
        <w:rPr>
          <w:color w:val="555555"/>
          <w:sz w:val="18"/>
        </w:rPr>
        <w:t xml:space="preserve">Schulinfrastrukturverordnung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Der Zuweisungsbescheid wird mit einer Nebenbestimmung erlassen, die es ermöglicht, den Zuweisungsbescheid bei einer Kürzung des Raumprogramms oder einer Reduzierung der Nutzfläche aufzuheben.</w:t>
      </w:r>
    </w:p>
    <w:p>
      <w:r>
        <w:rPr>
          <w:color w:val="555555"/>
          <w:sz w:val="17"/>
        </w:rPr>
        <w:t xml:space="preserve">Zitiervorschlag: § 10 SchulInfraVO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https://recht.nulegal.eu/gesetze/SchulInfraVO/10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