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SchulG (Nordrhein-Westfalen)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Erster Teil</w:t>
      </w:r>
    </w:p>
    <w:p>
      <w:r>
        <w:t xml:space="preserve">Allgemeine Grundlagen</w:t>
      </w:r>
    </w:p>
    <w:p>
      <w:r>
        <w:t xml:space="preserve">Erster Abschnitt</w:t>
      </w:r>
    </w:p>
    <w:p>
      <w:r>
        <w:t xml:space="preserve">Auftrag der Schule</w:t>
      </w:r>
    </w:p>
    <w:p>
      <w:r>
        <w:rPr>
          <w:color w:val="555555"/>
          <w:sz w:val="17"/>
        </w:rPr>
        <w:t xml:space="preserve">Zitiervorschlag: Volltext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