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SchulG (Nordrhein-Westfalen) — Sponsoring, Werbung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Schulen dürfen zur Erfüllung ihrer Aufgaben für den Schulträger Zuwendungen von Dritten entgegennehmen und auf deren Leistungen in geeigneter Weise hinweisen (Sponsoring), wenn diese Hinweise mit dem Bildungs- und Erziehungsauftrag der Schule vereinbar sind und die Werbewirkung deutlich hinter den schulischen Nutzen zurücktritt. Die Entscheidung trifft die Schulleiterin oder der Schulleiter mit Zustimmung der Schulkonferenz und des Schulträgers.</w:t>
      </w:r>
    </w:p>
    <w:p>
      <w:r>
        <w:t xml:space="preserve">(2) Im Übrigen ist Werbung, die nicht schulischen Zwecken dient, in der Schule grundsätzlich unzulässig. Über Ausnahmen entscheidet das Ministerium.</w:t>
      </w:r>
    </w:p>
    <w:p>
      <w:r>
        <w:t xml:space="preserve">(3) § 98 Abs. 2 gilt entsprechend.</w:t>
      </w:r>
    </w:p>
    <w:p>
      <w:r>
        <w:t xml:space="preserve">Elfter Teil</w:t>
      </w:r>
    </w:p>
    <w:p>
      <w:r>
        <w:t xml:space="preserve">Schulen in freier Trägerschaft</w:t>
      </w:r>
    </w:p>
    <w:p>
      <w:r>
        <w:t xml:space="preserve">Erster Abschnitt</w:t>
      </w:r>
    </w:p>
    <w:p>
      <w:r>
        <w:t xml:space="preserve">Ersatzschulen</w:t>
      </w:r>
    </w:p>
    <w:p>
      <w:r>
        <w:rPr>
          <w:color w:val="555555"/>
          <w:sz w:val="17"/>
        </w:rPr>
        <w:t xml:space="preserve">Zitiervorschlag: § 99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https://recht.nulegal.eu/gesetze/SchulG/99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